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D93" w:rsidRPr="002D5D93" w:rsidRDefault="002D5D93" w:rsidP="002D5D93">
      <w:pPr>
        <w:rPr>
          <w:b/>
        </w:rPr>
      </w:pPr>
      <w:r>
        <w:t xml:space="preserve">I </w:t>
      </w:r>
      <w:r w:rsidRPr="002D5D93">
        <w:t xml:space="preserve">kortanalysen </w:t>
      </w:r>
      <w:r w:rsidRPr="00F54AC5">
        <w:rPr>
          <w:i/>
        </w:rPr>
        <w:t xml:space="preserve">Nationella trygghetsundersökningen – resultat på kommunal nivå </w:t>
      </w:r>
      <w:r w:rsidRPr="002D5D93">
        <w:t xml:space="preserve">redovisas resultaten </w:t>
      </w:r>
      <w:r w:rsidR="00DB34BC">
        <w:t xml:space="preserve">från </w:t>
      </w:r>
      <w:r w:rsidRPr="002D5D93">
        <w:t>Nationella trygghetsundersökningen (NTU) 2017 och 2018 (sammanslaget). Redovisningen sker på kommunnivå, samt på stadsdelsnivå för Göteborg</w:t>
      </w:r>
      <w:r w:rsidR="00DB34BC">
        <w:t>,</w:t>
      </w:r>
      <w:r>
        <w:t xml:space="preserve"> Malmö och Stockholm. Här finns rapporten:</w:t>
      </w:r>
      <w:r w:rsidR="00F54AC5">
        <w:t xml:space="preserve"> </w:t>
      </w:r>
      <w:r w:rsidRPr="002D5D93">
        <w:rPr>
          <w:b/>
        </w:rPr>
        <w:t>https://www.bra.se/download/18.62c6cfa2166eca5d70e2b469/1561470781848/2019_Nationella_trygghetsundersokningen_resultat_pa_kommunal_niva.pdf</w:t>
      </w:r>
    </w:p>
    <w:p w:rsidR="00086FA5" w:rsidRDefault="002D5D93">
      <w:r>
        <w:t>Det</w:t>
      </w:r>
      <w:r w:rsidRPr="002D5D93">
        <w:t xml:space="preserve"> är stora skillnader mellan olika kommuner och stadsdelar vad gäller andelen som uppger att de utsatts för brott. Resultaten visar att det är vanligast att uppge att man utsatts för brott mot enskild person i Göteborg kommuns stadsdelsnämndsområde Lundby, där 34,4 procent av befolkningen uppger att de har utsatts. Detta kan jämföras med den kommun där andelen är som minst, nämligen Gnosjö, med 7,4 procent utsatta. I NTU ställs också ett antal frågor om otrygghet och oro för brott</w:t>
      </w:r>
      <w:r w:rsidR="00086FA5">
        <w:t xml:space="preserve">. </w:t>
      </w:r>
      <w:r w:rsidRPr="002D5D93">
        <w:t xml:space="preserve">Frågorna riktar bland annat in sig på </w:t>
      </w:r>
      <w:r w:rsidR="008B359A">
        <w:t>om</w:t>
      </w:r>
      <w:r w:rsidRPr="002D5D93">
        <w:t xml:space="preserve"> man känner sig otrygg när man går ut </w:t>
      </w:r>
      <w:r w:rsidR="00EE1F25">
        <w:t xml:space="preserve">ensam </w:t>
      </w:r>
      <w:r w:rsidRPr="002D5D93">
        <w:t>sent på kvällen i sitt bostadsområde, om man är orolig för att utsättas för olika brottstyper, samt om man upplever att oron för att utsättas för brott påverkar vardag</w:t>
      </w:r>
      <w:r w:rsidR="008B359A">
        <w:t>en</w:t>
      </w:r>
      <w:r w:rsidRPr="002D5D93">
        <w:t xml:space="preserve">. Sammantaget ingår 13 frågor om otrygghet och oro i kortanalysen. Vid en jämförelse av rikets kommuner och stadsdelar framgår det att otrygghet och oro är vanligast i Malmö kommuns stadsdel Fosie, </w:t>
      </w:r>
      <w:r w:rsidR="008B359A">
        <w:t>och</w:t>
      </w:r>
      <w:r w:rsidRPr="002D5D93">
        <w:t xml:space="preserve"> minst vanligt i Storuman och i Åsele</w:t>
      </w:r>
      <w:r w:rsidR="00EE1F25">
        <w:t>.</w:t>
      </w:r>
    </w:p>
    <w:p w:rsidR="00C005C6" w:rsidRPr="00086FA5" w:rsidRDefault="002D5D93">
      <w:r w:rsidRPr="00EE1F25">
        <w:rPr>
          <w:b/>
        </w:rPr>
        <w:t xml:space="preserve"> Skillnaderna i resultaten är i vissa fall stora, till exempel vad gäller frågan om otrygghet vid utevistelse sent</w:t>
      </w:r>
      <w:r w:rsidR="009E7C51" w:rsidRPr="00EE1F25">
        <w:rPr>
          <w:b/>
        </w:rPr>
        <w:t xml:space="preserve"> på kvällen</w:t>
      </w:r>
      <w:r w:rsidRPr="00EE1F25">
        <w:rPr>
          <w:b/>
        </w:rPr>
        <w:t xml:space="preserve"> i det egna bostadsområdet. Den största andel invånare som svarat att de känner sig otrygga, eller avstår från att gå ut på grund av otrygghet, återfinns i Malmö kommuns stadsdel Fosie (65 %) medan den minsta andelen invånare som svarat så bor i Storumans kommun (6 %).</w:t>
      </w:r>
    </w:p>
    <w:p w:rsidR="00F54AC5" w:rsidRDefault="002B6A5E">
      <w:r w:rsidRPr="002B6A5E">
        <w:rPr>
          <w:b/>
          <w:bCs/>
        </w:rPr>
        <w:t xml:space="preserve">Andel som känner sig otrygga, samt de som ej går ut på grund av otrygghet </w:t>
      </w:r>
      <w:r w:rsidR="003C4097" w:rsidRPr="002B6A5E">
        <w:rPr>
          <w:b/>
          <w:bCs/>
        </w:rPr>
        <w:t>2017–2018</w:t>
      </w:r>
      <w:r w:rsidRPr="002B6A5E">
        <w:rPr>
          <w:b/>
          <w:bCs/>
        </w:rPr>
        <w:t>, uppdelat på kommuner och stadsdelar</w:t>
      </w:r>
      <w:bookmarkStart w:id="0" w:name="_GoBack"/>
      <w:bookmarkEnd w:id="0"/>
      <w:r w:rsidR="00F54AC5" w:rsidRPr="00F54AC5">
        <w:drawing>
          <wp:inline distT="0" distB="0" distL="0" distR="0" wp14:anchorId="5D7E5AA5" wp14:editId="2C21EFB0">
            <wp:extent cx="6520815" cy="3976778"/>
            <wp:effectExtent l="0" t="0" r="13335" b="508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sectPr w:rsidR="00F54A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93"/>
    <w:rsid w:val="00086FA5"/>
    <w:rsid w:val="000F2A81"/>
    <w:rsid w:val="00140014"/>
    <w:rsid w:val="00231168"/>
    <w:rsid w:val="002B6A5E"/>
    <w:rsid w:val="002D5D93"/>
    <w:rsid w:val="00380288"/>
    <w:rsid w:val="003C4097"/>
    <w:rsid w:val="006A1145"/>
    <w:rsid w:val="008B359A"/>
    <w:rsid w:val="009D42E9"/>
    <w:rsid w:val="009E7C51"/>
    <w:rsid w:val="00A76FD9"/>
    <w:rsid w:val="00D11801"/>
    <w:rsid w:val="00DB34BC"/>
    <w:rsid w:val="00EE1F25"/>
    <w:rsid w:val="00F54AC5"/>
    <w:rsid w:val="00F631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CB09"/>
  <w15:chartTrackingRefBased/>
  <w15:docId w15:val="{FEFD01DB-B125-449A-A9C4-DA3F19E1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512633">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13071277">
          <w:marLeft w:val="0"/>
          <w:marRight w:val="0"/>
          <w:marTop w:val="0"/>
          <w:marBottom w:val="0"/>
          <w:divBdr>
            <w:top w:val="none" w:sz="0" w:space="0" w:color="auto"/>
            <w:left w:val="none" w:sz="0" w:space="0" w:color="auto"/>
            <w:bottom w:val="single" w:sz="6" w:space="9" w:color="C8C8C8"/>
            <w:right w:val="none" w:sz="0" w:space="0" w:color="auto"/>
          </w:divBdr>
          <w:divsChild>
            <w:div w:id="2019387515">
              <w:marLeft w:val="0"/>
              <w:marRight w:val="0"/>
              <w:marTop w:val="0"/>
              <w:marBottom w:val="0"/>
              <w:divBdr>
                <w:top w:val="none" w:sz="0" w:space="0" w:color="auto"/>
                <w:left w:val="none" w:sz="0" w:space="0" w:color="auto"/>
                <w:bottom w:val="none" w:sz="0" w:space="0" w:color="auto"/>
                <w:right w:val="none" w:sz="0" w:space="0" w:color="auto"/>
              </w:divBdr>
            </w:div>
            <w:div w:id="13307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466126550132154E-2"/>
          <c:y val="6.4359912390686752E-2"/>
          <c:w val="0.92521103573709729"/>
          <c:h val="0.67917447320043156"/>
        </c:manualLayout>
      </c:layout>
      <c:barChart>
        <c:barDir val="col"/>
        <c:grouping val="clustered"/>
        <c:varyColors val="0"/>
        <c:ser>
          <c:idx val="0"/>
          <c:order val="0"/>
          <c:invertIfNegative val="0"/>
          <c:dPt>
            <c:idx val="0"/>
            <c:invertIfNegative val="0"/>
            <c:bubble3D val="0"/>
            <c:spPr>
              <a:solidFill>
                <a:srgbClr val="00727A"/>
              </a:solidFill>
            </c:spPr>
            <c:extLst>
              <c:ext xmlns:c16="http://schemas.microsoft.com/office/drawing/2014/chart" uri="{C3380CC4-5D6E-409C-BE32-E72D297353CC}">
                <c16:uniqueId val="{00000001-511D-45CB-8B5F-3E180F6B700D}"/>
              </c:ext>
            </c:extLst>
          </c:dPt>
          <c:dPt>
            <c:idx val="1"/>
            <c:invertIfNegative val="0"/>
            <c:bubble3D val="0"/>
            <c:spPr>
              <a:solidFill>
                <a:srgbClr val="00727A"/>
              </a:solidFill>
            </c:spPr>
            <c:extLst>
              <c:ext xmlns:c16="http://schemas.microsoft.com/office/drawing/2014/chart" uri="{C3380CC4-5D6E-409C-BE32-E72D297353CC}">
                <c16:uniqueId val="{00000003-511D-45CB-8B5F-3E180F6B700D}"/>
              </c:ext>
            </c:extLst>
          </c:dPt>
          <c:dPt>
            <c:idx val="2"/>
            <c:invertIfNegative val="0"/>
            <c:bubble3D val="0"/>
            <c:spPr>
              <a:solidFill>
                <a:srgbClr val="00727A"/>
              </a:solidFill>
            </c:spPr>
            <c:extLst>
              <c:ext xmlns:c16="http://schemas.microsoft.com/office/drawing/2014/chart" uri="{C3380CC4-5D6E-409C-BE32-E72D297353CC}">
                <c16:uniqueId val="{00000005-511D-45CB-8B5F-3E180F6B700D}"/>
              </c:ext>
            </c:extLst>
          </c:dPt>
          <c:dPt>
            <c:idx val="3"/>
            <c:invertIfNegative val="0"/>
            <c:bubble3D val="0"/>
            <c:spPr>
              <a:solidFill>
                <a:srgbClr val="00727A"/>
              </a:solidFill>
              <a:ln>
                <a:solidFill>
                  <a:srgbClr val="00727A"/>
                </a:solidFill>
              </a:ln>
            </c:spPr>
            <c:extLst>
              <c:ext xmlns:c16="http://schemas.microsoft.com/office/drawing/2014/chart" uri="{C3380CC4-5D6E-409C-BE32-E72D297353CC}">
                <c16:uniqueId val="{00000007-511D-45CB-8B5F-3E180F6B700D}"/>
              </c:ext>
            </c:extLst>
          </c:dPt>
          <c:dPt>
            <c:idx val="4"/>
            <c:invertIfNegative val="0"/>
            <c:bubble3D val="0"/>
            <c:spPr>
              <a:solidFill>
                <a:srgbClr val="00727A"/>
              </a:solidFill>
            </c:spPr>
            <c:extLst>
              <c:ext xmlns:c16="http://schemas.microsoft.com/office/drawing/2014/chart" uri="{C3380CC4-5D6E-409C-BE32-E72D297353CC}">
                <c16:uniqueId val="{00000009-511D-45CB-8B5F-3E180F6B700D}"/>
              </c:ext>
            </c:extLst>
          </c:dPt>
          <c:dPt>
            <c:idx val="5"/>
            <c:invertIfNegative val="0"/>
            <c:bubble3D val="0"/>
            <c:spPr>
              <a:solidFill>
                <a:srgbClr val="6D236F"/>
              </a:solidFill>
            </c:spPr>
            <c:extLst>
              <c:ext xmlns:c16="http://schemas.microsoft.com/office/drawing/2014/chart" uri="{C3380CC4-5D6E-409C-BE32-E72D297353CC}">
                <c16:uniqueId val="{0000000B-511D-45CB-8B5F-3E180F6B700D}"/>
              </c:ext>
            </c:extLst>
          </c:dPt>
          <c:dPt>
            <c:idx val="6"/>
            <c:invertIfNegative val="0"/>
            <c:bubble3D val="0"/>
            <c:spPr>
              <a:solidFill>
                <a:srgbClr val="6D236F"/>
              </a:solidFill>
            </c:spPr>
            <c:extLst>
              <c:ext xmlns:c16="http://schemas.microsoft.com/office/drawing/2014/chart" uri="{C3380CC4-5D6E-409C-BE32-E72D297353CC}">
                <c16:uniqueId val="{0000000D-511D-45CB-8B5F-3E180F6B700D}"/>
              </c:ext>
            </c:extLst>
          </c:dPt>
          <c:dPt>
            <c:idx val="7"/>
            <c:invertIfNegative val="0"/>
            <c:bubble3D val="0"/>
            <c:spPr>
              <a:solidFill>
                <a:srgbClr val="6D236F"/>
              </a:solidFill>
            </c:spPr>
            <c:extLst>
              <c:ext xmlns:c16="http://schemas.microsoft.com/office/drawing/2014/chart" uri="{C3380CC4-5D6E-409C-BE32-E72D297353CC}">
                <c16:uniqueId val="{0000000F-511D-45CB-8B5F-3E180F6B700D}"/>
              </c:ext>
            </c:extLst>
          </c:dPt>
          <c:dLbls>
            <c:dLbl>
              <c:idx val="3"/>
              <c:layout>
                <c:manualLayout>
                  <c:x val="1.3888890407795903E-3"/>
                  <c:y val="5.7945040738619231E-2"/>
                </c:manualLayout>
              </c:layout>
              <c:spPr>
                <a:solidFill>
                  <a:srgbClr val="00727A"/>
                </a:solidFill>
              </c:spPr>
              <c:txPr>
                <a:bodyPr/>
                <a:lstStyle/>
                <a:p>
                  <a:pPr>
                    <a:defRPr sz="1400">
                      <a:solidFill>
                        <a:schemeClr val="bg1"/>
                      </a:solidFill>
                    </a:defRPr>
                  </a:pPr>
                  <a:endParaRPr lang="sv-SE"/>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11D-45CB-8B5F-3E180F6B700D}"/>
                </c:ext>
              </c:extLst>
            </c:dLbl>
            <c:dLbl>
              <c:idx val="4"/>
              <c:spPr>
                <a:solidFill>
                  <a:srgbClr val="00727A"/>
                </a:solidFill>
              </c:spPr>
              <c:txPr>
                <a:bodyPr/>
                <a:lstStyle/>
                <a:p>
                  <a:pPr>
                    <a:defRPr sz="1400">
                      <a:solidFill>
                        <a:schemeClr val="bg1"/>
                      </a:solidFill>
                    </a:defRPr>
                  </a:pPr>
                  <a:endParaRPr lang="sv-SE"/>
                </a:p>
              </c:txPr>
              <c:dLblPos val="inEnd"/>
              <c:showLegendKey val="0"/>
              <c:showVal val="1"/>
              <c:showCatName val="0"/>
              <c:showSerName val="0"/>
              <c:showPercent val="0"/>
              <c:showBubbleSize val="0"/>
              <c:extLst>
                <c:ext xmlns:c16="http://schemas.microsoft.com/office/drawing/2014/chart" uri="{C3380CC4-5D6E-409C-BE32-E72D297353CC}">
                  <c16:uniqueId val="{00000009-511D-45CB-8B5F-3E180F6B700D}"/>
                </c:ext>
              </c:extLst>
            </c:dLbl>
            <c:dLbl>
              <c:idx val="6"/>
              <c:tx>
                <c:rich>
                  <a:bodyPr/>
                  <a:lstStyle/>
                  <a:p>
                    <a:r>
                      <a:rPr lang="en-US">
                        <a:solidFill>
                          <a:schemeClr val="bg1"/>
                        </a:solidFill>
                      </a:rPr>
                      <a:t>60%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11D-45CB-8B5F-3E180F6B700D}"/>
                </c:ext>
              </c:extLst>
            </c:dLbl>
            <c:dLbl>
              <c:idx val="7"/>
              <c:layout>
                <c:manualLayout>
                  <c:x val="0"/>
                  <c:y val="0.1076098164570014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11D-45CB-8B5F-3E180F6B700D}"/>
                </c:ext>
              </c:extLst>
            </c:dLbl>
            <c:spPr>
              <a:noFill/>
              <a:ln>
                <a:noFill/>
              </a:ln>
              <a:effectLst/>
            </c:spPr>
            <c:txPr>
              <a:bodyPr/>
              <a:lstStyle/>
              <a:p>
                <a:pPr>
                  <a:defRPr sz="1400">
                    <a:solidFill>
                      <a:schemeClr val="bg1"/>
                    </a:solidFill>
                  </a:defRPr>
                </a:pPr>
                <a:endParaRPr lang="sv-S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Blad6!$A$4:$A$11</c:f>
              <c:strCache>
                <c:ptCount val="8"/>
                <c:pt idx="0">
                  <c:v>Storuman</c:v>
                </c:pt>
                <c:pt idx="1">
                  <c:v>Jokkmokk</c:v>
                </c:pt>
                <c:pt idx="2">
                  <c:v>Bräcke</c:v>
                </c:pt>
                <c:pt idx="3">
                  <c:v>Vaxholm</c:v>
                </c:pt>
                <c:pt idx="4">
                  <c:v>Öckerö</c:v>
                </c:pt>
                <c:pt idx="5">
                  <c:v>Rinkeby-Kista</c:v>
                </c:pt>
                <c:pt idx="6">
                  <c:v>Rosengård</c:v>
                </c:pt>
                <c:pt idx="7">
                  <c:v>Fosie</c:v>
                </c:pt>
              </c:strCache>
            </c:strRef>
          </c:cat>
          <c:val>
            <c:numRef>
              <c:f>Blad6!$B$4:$B$11</c:f>
              <c:numCache>
                <c:formatCode>0%</c:formatCode>
                <c:ptCount val="8"/>
                <c:pt idx="0">
                  <c:v>0.06</c:v>
                </c:pt>
                <c:pt idx="1">
                  <c:v>7.0000000000000007E-2</c:v>
                </c:pt>
                <c:pt idx="2">
                  <c:v>0.08</c:v>
                </c:pt>
                <c:pt idx="3">
                  <c:v>0.08</c:v>
                </c:pt>
                <c:pt idx="4">
                  <c:v>0.08</c:v>
                </c:pt>
                <c:pt idx="5">
                  <c:v>0.56000000000000005</c:v>
                </c:pt>
                <c:pt idx="6">
                  <c:v>0.6</c:v>
                </c:pt>
                <c:pt idx="7">
                  <c:v>0.65</c:v>
                </c:pt>
              </c:numCache>
            </c:numRef>
          </c:val>
          <c:extLst>
            <c:ext xmlns:c16="http://schemas.microsoft.com/office/drawing/2014/chart" uri="{C3380CC4-5D6E-409C-BE32-E72D297353CC}">
              <c16:uniqueId val="{00000010-511D-45CB-8B5F-3E180F6B700D}"/>
            </c:ext>
          </c:extLst>
        </c:ser>
        <c:dLbls>
          <c:showLegendKey val="0"/>
          <c:showVal val="0"/>
          <c:showCatName val="0"/>
          <c:showSerName val="0"/>
          <c:showPercent val="0"/>
          <c:showBubbleSize val="0"/>
        </c:dLbls>
        <c:gapWidth val="150"/>
        <c:axId val="45549440"/>
        <c:axId val="45609344"/>
      </c:barChart>
      <c:catAx>
        <c:axId val="45549440"/>
        <c:scaling>
          <c:orientation val="minMax"/>
        </c:scaling>
        <c:delete val="0"/>
        <c:axPos val="b"/>
        <c:numFmt formatCode="General" sourceLinked="0"/>
        <c:majorTickMark val="out"/>
        <c:minorTickMark val="none"/>
        <c:tickLblPos val="nextTo"/>
        <c:txPr>
          <a:bodyPr/>
          <a:lstStyle/>
          <a:p>
            <a:pPr>
              <a:defRPr sz="1400"/>
            </a:pPr>
            <a:endParaRPr lang="sv-SE"/>
          </a:p>
        </c:txPr>
        <c:crossAx val="45609344"/>
        <c:crosses val="autoZero"/>
        <c:auto val="1"/>
        <c:lblAlgn val="ctr"/>
        <c:lblOffset val="100"/>
        <c:noMultiLvlLbl val="0"/>
      </c:catAx>
      <c:valAx>
        <c:axId val="45609344"/>
        <c:scaling>
          <c:orientation val="minMax"/>
        </c:scaling>
        <c:delete val="0"/>
        <c:axPos val="l"/>
        <c:majorGridlines/>
        <c:numFmt formatCode="0%" sourceLinked="1"/>
        <c:majorTickMark val="out"/>
        <c:minorTickMark val="none"/>
        <c:tickLblPos val="nextTo"/>
        <c:crossAx val="45549440"/>
        <c:crosses val="autoZero"/>
        <c:crossBetween val="between"/>
      </c:valAx>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0.01176</cdr:x>
      <cdr:y>0</cdr:y>
    </cdr:from>
    <cdr:to>
      <cdr:x>0.39857</cdr:x>
      <cdr:y>0.13542</cdr:y>
    </cdr:to>
    <cdr:sp macro="" textlink="">
      <cdr:nvSpPr>
        <cdr:cNvPr id="2" name="textruta 1"/>
        <cdr:cNvSpPr txBox="1"/>
      </cdr:nvSpPr>
      <cdr:spPr>
        <a:xfrm xmlns:a="http://schemas.openxmlformats.org/drawingml/2006/main">
          <a:off x="107504" y="-908720"/>
          <a:ext cx="3536990" cy="75085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v-SE" sz="1800" dirty="0"/>
            <a:t>                             </a:t>
          </a:r>
        </a:p>
        <a:p xmlns:a="http://schemas.openxmlformats.org/drawingml/2006/main">
          <a:r>
            <a:rPr lang="sv-SE" sz="1800" dirty="0"/>
            <a:t>                            </a:t>
          </a:r>
        </a:p>
      </cdr:txBody>
    </cdr:sp>
  </cdr:relSizeAnchor>
  <cdr:relSizeAnchor xmlns:cdr="http://schemas.openxmlformats.org/drawingml/2006/chartDrawing">
    <cdr:from>
      <cdr:x>0.57875</cdr:x>
      <cdr:y>0.02496</cdr:y>
    </cdr:from>
    <cdr:to>
      <cdr:x>0.91737</cdr:x>
      <cdr:y>0.05931</cdr:y>
    </cdr:to>
    <cdr:sp macro="" textlink="">
      <cdr:nvSpPr>
        <cdr:cNvPr id="6" name="textruta 1"/>
        <cdr:cNvSpPr txBox="1"/>
      </cdr:nvSpPr>
      <cdr:spPr>
        <a:xfrm xmlns:a="http://schemas.openxmlformats.org/drawingml/2006/main">
          <a:off x="5292080" y="138385"/>
          <a:ext cx="3096344" cy="19047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v-SE" sz="1800" dirty="0"/>
            <a:t>     </a:t>
          </a:r>
        </a:p>
        <a:p xmlns:a="http://schemas.openxmlformats.org/drawingml/2006/main">
          <a:r>
            <a:rPr lang="sv-SE" sz="1800" dirty="0"/>
            <a:t>                        </a:t>
          </a:r>
        </a:p>
      </cdr:txBody>
    </cdr:sp>
  </cdr:relSizeAnchor>
  <cdr:relSizeAnchor xmlns:cdr="http://schemas.openxmlformats.org/drawingml/2006/chartDrawing">
    <cdr:from>
      <cdr:x>0.05454</cdr:x>
      <cdr:y>0.02565</cdr:y>
    </cdr:from>
    <cdr:to>
      <cdr:x>0.59001</cdr:x>
      <cdr:y>0.1426</cdr:y>
    </cdr:to>
    <cdr:sp macro="" textlink="">
      <cdr:nvSpPr>
        <cdr:cNvPr id="7" name="textruta 1">
          <a:extLst xmlns:a="http://schemas.openxmlformats.org/drawingml/2006/main">
            <a:ext uri="{FF2B5EF4-FFF2-40B4-BE49-F238E27FC236}">
              <a16:creationId xmlns:a16="http://schemas.microsoft.com/office/drawing/2014/main" id="{C3551DE5-C691-41DD-8AA1-3CB9FCF3914D}"/>
            </a:ext>
          </a:extLst>
        </cdr:cNvPr>
        <cdr:cNvSpPr txBox="1"/>
      </cdr:nvSpPr>
      <cdr:spPr>
        <a:xfrm xmlns:a="http://schemas.openxmlformats.org/drawingml/2006/main">
          <a:off x="314176" y="78972"/>
          <a:ext cx="3084693" cy="360103"/>
        </a:xfrm>
        <a:prstGeom xmlns:a="http://schemas.openxmlformats.org/drawingml/2006/main" prst="rect">
          <a:avLst/>
        </a:prstGeom>
      </cdr:spPr>
      <cdr:txBody>
        <a:bodyPr xmlns:a="http://schemas.openxmlformats.org/drawingml/2006/main" wrap="square" rtlCol="0" anchor="ctr"/>
        <a:lstStyle xmlns:a="http://schemas.openxmlformats.org/drawingml/2006/main">
          <a:defPPr>
            <a:defRPr lang="sv-S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sv-SE" sz="2400" dirty="0"/>
            <a:t>Minst andel</a:t>
          </a:r>
        </a:p>
      </cdr:txBody>
    </cdr:sp>
  </cdr:relSizeAnchor>
  <cdr:relSizeAnchor xmlns:cdr="http://schemas.openxmlformats.org/drawingml/2006/chartDrawing">
    <cdr:from>
      <cdr:x>0.5645</cdr:x>
      <cdr:y>0.03405</cdr:y>
    </cdr:from>
    <cdr:to>
      <cdr:x>0.97407</cdr:x>
      <cdr:y>0.151</cdr:y>
    </cdr:to>
    <cdr:sp macro="" textlink="">
      <cdr:nvSpPr>
        <cdr:cNvPr id="8" name="textruta 1">
          <a:extLst xmlns:a="http://schemas.openxmlformats.org/drawingml/2006/main">
            <a:ext uri="{FF2B5EF4-FFF2-40B4-BE49-F238E27FC236}">
              <a16:creationId xmlns:a16="http://schemas.microsoft.com/office/drawing/2014/main" id="{E381682B-3766-4688-9C9B-969F2AA70C7D}"/>
            </a:ext>
          </a:extLst>
        </cdr:cNvPr>
        <cdr:cNvSpPr txBox="1"/>
      </cdr:nvSpPr>
      <cdr:spPr>
        <a:xfrm xmlns:a="http://schemas.openxmlformats.org/drawingml/2006/main">
          <a:off x="3251911" y="104852"/>
          <a:ext cx="2359418" cy="360103"/>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sv-SE" sz="2400" dirty="0"/>
            <a:t>Störst andel</a:t>
          </a:r>
        </a:p>
      </cdr:txBody>
    </cdr:sp>
  </cdr:relSizeAnchor>
</c:userShape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21</TotalTime>
  <Pages>1</Pages>
  <Words>305</Words>
  <Characters>1621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Brottsförebyggande Rådet</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Molin</dc:creator>
  <cp:keywords/>
  <dc:description/>
  <cp:lastModifiedBy>Maria Molin</cp:lastModifiedBy>
  <cp:revision>14</cp:revision>
  <dcterms:created xsi:type="dcterms:W3CDTF">2021-02-19T12:49:00Z</dcterms:created>
  <dcterms:modified xsi:type="dcterms:W3CDTF">2021-02-19T13:25:00Z</dcterms:modified>
</cp:coreProperties>
</file>